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F2" w:rsidRPr="00CB04F2" w:rsidRDefault="00CB04F2" w:rsidP="00CB04F2">
      <w:pPr>
        <w:shd w:val="clear" w:color="auto" w:fill="FFFFFF"/>
        <w:spacing w:before="600" w:after="600" w:line="525" w:lineRule="atLeast"/>
        <w:jc w:val="center"/>
        <w:outlineLvl w:val="0"/>
        <w:rPr>
          <w:rFonts w:ascii="Times New Roman" w:eastAsia="Times New Roman" w:hAnsi="Times New Roman" w:cs="Times New Roman"/>
          <w:b/>
          <w:kern w:val="36"/>
          <w:sz w:val="28"/>
          <w:szCs w:val="28"/>
          <w:lang w:eastAsia="ru-RU"/>
        </w:rPr>
      </w:pPr>
      <w:r w:rsidRPr="00CB04F2">
        <w:rPr>
          <w:rFonts w:ascii="Times New Roman" w:eastAsia="Times New Roman" w:hAnsi="Times New Roman" w:cs="Times New Roman"/>
          <w:b/>
          <w:kern w:val="36"/>
          <w:sz w:val="28"/>
          <w:szCs w:val="28"/>
          <w:lang w:eastAsia="ru-RU"/>
        </w:rPr>
        <w:t>Анализ детского дорожно-транспортного травматизма в Московской области за 2 месяца 2020 года</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Всего за 2 месяца 2020 года на территории Московской области произошло 767 учетных ДТП, в которых 98 человек погибли и 964 получили ранения.</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Дорожные аварии, в результате которых погибли и пострадали дети, составили 6,6% от общего количества учетных ДТП, погибшие 0%,    травмированные 6%.</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35 дорожные аварии (АППГ – 29, +20%) произошли на территории обслуживания районных отделов Госавтоинспекции (69% от общего количества ДТП), 16 происшествий (АППГ – 15, +6%) зарегистрированы в зоне ответственности строевых подразделений (31% от общего количества ДТП).</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По сравнению с аналогичными показателями прошлого года рост числа дорожных аварий с участием несовершеннолетних отмечается на территории обслуживания следующих районных и строевых подразделений ГИБДД:</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xml:space="preserve">- ОГИБДД </w:t>
      </w:r>
      <w:proofErr w:type="spellStart"/>
      <w:r w:rsidRPr="00CB04F2">
        <w:rPr>
          <w:rFonts w:ascii="Times New Roman" w:eastAsia="Times New Roman" w:hAnsi="Times New Roman" w:cs="Times New Roman"/>
          <w:b/>
          <w:bCs/>
          <w:color w:val="222222"/>
          <w:sz w:val="28"/>
          <w:szCs w:val="28"/>
          <w:lang w:eastAsia="ru-RU"/>
        </w:rPr>
        <w:t>г.о</w:t>
      </w:r>
      <w:proofErr w:type="spellEnd"/>
      <w:r w:rsidRPr="00CB04F2">
        <w:rPr>
          <w:rFonts w:ascii="Times New Roman" w:eastAsia="Times New Roman" w:hAnsi="Times New Roman" w:cs="Times New Roman"/>
          <w:b/>
          <w:bCs/>
          <w:color w:val="222222"/>
          <w:sz w:val="28"/>
          <w:szCs w:val="28"/>
          <w:lang w:eastAsia="ru-RU"/>
        </w:rPr>
        <w:t>. Подольск </w:t>
      </w:r>
      <w:r w:rsidRPr="00CB04F2">
        <w:rPr>
          <w:rFonts w:ascii="Times New Roman" w:eastAsia="Times New Roman" w:hAnsi="Times New Roman" w:cs="Times New Roman"/>
          <w:color w:val="222222"/>
          <w:sz w:val="28"/>
          <w:szCs w:val="28"/>
          <w:lang w:eastAsia="ru-RU"/>
        </w:rPr>
        <w:t>(2020г. – 3 ДТП, 3 пострадавших; 2019г. – 0 ДТП; +100%);</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xml:space="preserve">- ОГИБДД </w:t>
      </w:r>
      <w:proofErr w:type="spellStart"/>
      <w:r w:rsidRPr="00CB04F2">
        <w:rPr>
          <w:rFonts w:ascii="Times New Roman" w:eastAsia="Times New Roman" w:hAnsi="Times New Roman" w:cs="Times New Roman"/>
          <w:b/>
          <w:bCs/>
          <w:color w:val="222222"/>
          <w:sz w:val="28"/>
          <w:szCs w:val="28"/>
          <w:lang w:eastAsia="ru-RU"/>
        </w:rPr>
        <w:t>г.о</w:t>
      </w:r>
      <w:proofErr w:type="spellEnd"/>
      <w:r w:rsidRPr="00CB04F2">
        <w:rPr>
          <w:rFonts w:ascii="Times New Roman" w:eastAsia="Times New Roman" w:hAnsi="Times New Roman" w:cs="Times New Roman"/>
          <w:b/>
          <w:bCs/>
          <w:color w:val="222222"/>
          <w:sz w:val="28"/>
          <w:szCs w:val="28"/>
          <w:lang w:eastAsia="ru-RU"/>
        </w:rPr>
        <w:t>. Красногорск </w:t>
      </w:r>
      <w:r w:rsidRPr="00CB04F2">
        <w:rPr>
          <w:rFonts w:ascii="Times New Roman" w:eastAsia="Times New Roman" w:hAnsi="Times New Roman" w:cs="Times New Roman"/>
          <w:color w:val="222222"/>
          <w:sz w:val="28"/>
          <w:szCs w:val="28"/>
          <w:lang w:eastAsia="ru-RU"/>
        </w:rPr>
        <w:t>(2020г. – 3 ДТП, 3 пострадавших;                    2019г. – 0 ДТП; +100%);</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xml:space="preserve">- ОГИБДД </w:t>
      </w:r>
      <w:proofErr w:type="spellStart"/>
      <w:r w:rsidRPr="00CB04F2">
        <w:rPr>
          <w:rFonts w:ascii="Times New Roman" w:eastAsia="Times New Roman" w:hAnsi="Times New Roman" w:cs="Times New Roman"/>
          <w:b/>
          <w:bCs/>
          <w:color w:val="222222"/>
          <w:sz w:val="28"/>
          <w:szCs w:val="28"/>
          <w:lang w:eastAsia="ru-RU"/>
        </w:rPr>
        <w:t>г.о</w:t>
      </w:r>
      <w:proofErr w:type="spellEnd"/>
      <w:r w:rsidRPr="00CB04F2">
        <w:rPr>
          <w:rFonts w:ascii="Times New Roman" w:eastAsia="Times New Roman" w:hAnsi="Times New Roman" w:cs="Times New Roman"/>
          <w:b/>
          <w:bCs/>
          <w:color w:val="222222"/>
          <w:sz w:val="28"/>
          <w:szCs w:val="28"/>
          <w:lang w:eastAsia="ru-RU"/>
        </w:rPr>
        <w:t>. Люберцы </w:t>
      </w:r>
      <w:r w:rsidRPr="00CB04F2">
        <w:rPr>
          <w:rFonts w:ascii="Times New Roman" w:eastAsia="Times New Roman" w:hAnsi="Times New Roman" w:cs="Times New Roman"/>
          <w:color w:val="222222"/>
          <w:sz w:val="28"/>
          <w:szCs w:val="28"/>
          <w:lang w:eastAsia="ru-RU"/>
        </w:rPr>
        <w:t>(2020г. – 2 ДТП, 2 пострадавших; 2019г. – 0 ДТП; +100%);</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w:t>
      </w:r>
      <w:r w:rsidRPr="00CB04F2">
        <w:rPr>
          <w:rFonts w:ascii="Times New Roman" w:eastAsia="Times New Roman" w:hAnsi="Times New Roman" w:cs="Times New Roman"/>
          <w:b/>
          <w:bCs/>
          <w:color w:val="222222"/>
          <w:sz w:val="28"/>
          <w:szCs w:val="28"/>
          <w:lang w:eastAsia="ru-RU"/>
        </w:rPr>
        <w:t xml:space="preserve">ОГИБДД </w:t>
      </w:r>
      <w:proofErr w:type="spellStart"/>
      <w:r w:rsidRPr="00CB04F2">
        <w:rPr>
          <w:rFonts w:ascii="Times New Roman" w:eastAsia="Times New Roman" w:hAnsi="Times New Roman" w:cs="Times New Roman"/>
          <w:b/>
          <w:bCs/>
          <w:color w:val="222222"/>
          <w:sz w:val="28"/>
          <w:szCs w:val="28"/>
          <w:lang w:eastAsia="ru-RU"/>
        </w:rPr>
        <w:t>г.о</w:t>
      </w:r>
      <w:proofErr w:type="spellEnd"/>
      <w:r w:rsidRPr="00CB04F2">
        <w:rPr>
          <w:rFonts w:ascii="Times New Roman" w:eastAsia="Times New Roman" w:hAnsi="Times New Roman" w:cs="Times New Roman"/>
          <w:b/>
          <w:bCs/>
          <w:color w:val="222222"/>
          <w:sz w:val="28"/>
          <w:szCs w:val="28"/>
          <w:lang w:eastAsia="ru-RU"/>
        </w:rPr>
        <w:t>. Мытищи </w:t>
      </w:r>
      <w:r w:rsidRPr="00CB04F2">
        <w:rPr>
          <w:rFonts w:ascii="Times New Roman" w:eastAsia="Times New Roman" w:hAnsi="Times New Roman" w:cs="Times New Roman"/>
          <w:color w:val="222222"/>
          <w:sz w:val="28"/>
          <w:szCs w:val="28"/>
          <w:lang w:eastAsia="ru-RU"/>
        </w:rPr>
        <w:t>(2020г. – 2 ДТП, 2 пострадавших; 2019г. – 0 ДТП; +100%);</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xml:space="preserve">- ОГИБДД </w:t>
      </w:r>
      <w:proofErr w:type="spellStart"/>
      <w:r w:rsidRPr="00CB04F2">
        <w:rPr>
          <w:rFonts w:ascii="Times New Roman" w:eastAsia="Times New Roman" w:hAnsi="Times New Roman" w:cs="Times New Roman"/>
          <w:b/>
          <w:bCs/>
          <w:color w:val="222222"/>
          <w:sz w:val="28"/>
          <w:szCs w:val="28"/>
          <w:lang w:eastAsia="ru-RU"/>
        </w:rPr>
        <w:t>г.о</w:t>
      </w:r>
      <w:proofErr w:type="spellEnd"/>
      <w:r w:rsidRPr="00CB04F2">
        <w:rPr>
          <w:rFonts w:ascii="Times New Roman" w:eastAsia="Times New Roman" w:hAnsi="Times New Roman" w:cs="Times New Roman"/>
          <w:b/>
          <w:bCs/>
          <w:color w:val="222222"/>
          <w:sz w:val="28"/>
          <w:szCs w:val="28"/>
          <w:lang w:eastAsia="ru-RU"/>
        </w:rPr>
        <w:t>. Егорьевск </w:t>
      </w:r>
      <w:r w:rsidRPr="00CB04F2">
        <w:rPr>
          <w:rFonts w:ascii="Times New Roman" w:eastAsia="Times New Roman" w:hAnsi="Times New Roman" w:cs="Times New Roman"/>
          <w:color w:val="222222"/>
          <w:sz w:val="28"/>
          <w:szCs w:val="28"/>
          <w:lang w:eastAsia="ru-RU"/>
        </w:rPr>
        <w:t>(2020г. – 2 ДТП, 2 пострадавших; 2019г. – 0 ДТП; +100%);</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- 14 батальон ДПС</w:t>
      </w:r>
      <w:r w:rsidRPr="00CB04F2">
        <w:rPr>
          <w:rFonts w:ascii="Times New Roman" w:eastAsia="Times New Roman" w:hAnsi="Times New Roman" w:cs="Times New Roman"/>
          <w:color w:val="222222"/>
          <w:sz w:val="28"/>
          <w:szCs w:val="28"/>
          <w:lang w:eastAsia="ru-RU"/>
        </w:rPr>
        <w:t> (2020г. – 3 ДТП, 4 пострадавших; 2019г. – 0 ДТП; +200%);</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- 6 батальон ДПС</w:t>
      </w:r>
      <w:r w:rsidRPr="00CB04F2">
        <w:rPr>
          <w:rFonts w:ascii="Times New Roman" w:eastAsia="Times New Roman" w:hAnsi="Times New Roman" w:cs="Times New Roman"/>
          <w:color w:val="222222"/>
          <w:sz w:val="28"/>
          <w:szCs w:val="28"/>
          <w:lang w:eastAsia="ru-RU"/>
        </w:rPr>
        <w:t> (2020г. – 2 ДТП, 3 пострадавших; 2019г. – 0 ДТП; +100%).</w:t>
      </w:r>
      <w:bookmarkStart w:id="0" w:name="_GoBack"/>
      <w:bookmarkEnd w:id="0"/>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lastRenderedPageBreak/>
        <w:t>Распределение показателей детского</w:t>
      </w:r>
      <w:r>
        <w:rPr>
          <w:rFonts w:ascii="Times New Roman" w:eastAsia="Times New Roman" w:hAnsi="Times New Roman" w:cs="Times New Roman"/>
          <w:color w:val="222222"/>
          <w:sz w:val="28"/>
          <w:szCs w:val="28"/>
          <w:lang w:eastAsia="ru-RU"/>
        </w:rPr>
        <w:t xml:space="preserve"> </w:t>
      </w:r>
      <w:r w:rsidRPr="00CB04F2">
        <w:rPr>
          <w:rFonts w:ascii="Times New Roman" w:eastAsia="Times New Roman" w:hAnsi="Times New Roman" w:cs="Times New Roman"/>
          <w:b/>
          <w:bCs/>
          <w:i/>
          <w:iCs/>
          <w:color w:val="222222"/>
          <w:sz w:val="28"/>
          <w:szCs w:val="28"/>
          <w:lang w:eastAsia="ru-RU"/>
        </w:rPr>
        <w:t>дорожно-транспортного травматизма по месяцам</w:t>
      </w:r>
    </w:p>
    <w:tbl>
      <w:tblPr>
        <w:tblW w:w="9371" w:type="dxa"/>
        <w:tblCellMar>
          <w:top w:w="15" w:type="dxa"/>
          <w:left w:w="15" w:type="dxa"/>
          <w:bottom w:w="15" w:type="dxa"/>
          <w:right w:w="15" w:type="dxa"/>
        </w:tblCellMar>
        <w:tblLook w:val="04A0" w:firstRow="1" w:lastRow="0" w:firstColumn="1" w:lastColumn="0" w:noHBand="0" w:noVBand="1"/>
      </w:tblPr>
      <w:tblGrid>
        <w:gridCol w:w="2850"/>
        <w:gridCol w:w="1701"/>
        <w:gridCol w:w="1560"/>
        <w:gridCol w:w="1417"/>
        <w:gridCol w:w="1843"/>
      </w:tblGrid>
      <w:tr w:rsidR="00CB04F2" w:rsidRPr="00CB04F2" w:rsidTr="00CB04F2">
        <w:tc>
          <w:tcPr>
            <w:tcW w:w="2850" w:type="dxa"/>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Основные показатели</w:t>
            </w:r>
          </w:p>
        </w:tc>
        <w:tc>
          <w:tcPr>
            <w:tcW w:w="3261" w:type="dxa"/>
            <w:gridSpan w:val="2"/>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январь</w:t>
            </w:r>
          </w:p>
        </w:tc>
        <w:tc>
          <w:tcPr>
            <w:tcW w:w="3260" w:type="dxa"/>
            <w:gridSpan w:val="2"/>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февраль</w:t>
            </w:r>
          </w:p>
        </w:tc>
      </w:tr>
      <w:tr w:rsidR="00CB04F2" w:rsidRPr="00CB04F2" w:rsidTr="00CB04F2">
        <w:tc>
          <w:tcPr>
            <w:tcW w:w="2850" w:type="dxa"/>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CB04F2" w:rsidRPr="00CB04F2" w:rsidRDefault="00CB04F2" w:rsidP="00CB04F2">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19г</w:t>
            </w:r>
          </w:p>
        </w:tc>
        <w:tc>
          <w:tcPr>
            <w:tcW w:w="156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20г</w:t>
            </w:r>
          </w:p>
        </w:tc>
        <w:tc>
          <w:tcPr>
            <w:tcW w:w="141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19г</w:t>
            </w:r>
          </w:p>
        </w:tc>
        <w:tc>
          <w:tcPr>
            <w:tcW w:w="18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20г</w:t>
            </w:r>
          </w:p>
        </w:tc>
      </w:tr>
      <w:tr w:rsidR="00CB04F2" w:rsidRPr="00CB04F2" w:rsidTr="00CB04F2">
        <w:tc>
          <w:tcPr>
            <w:tcW w:w="285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Кол-во</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ДТП</w:t>
            </w:r>
          </w:p>
        </w:tc>
        <w:tc>
          <w:tcPr>
            <w:tcW w:w="17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     25</w:t>
            </w:r>
          </w:p>
        </w:tc>
        <w:tc>
          <w:tcPr>
            <w:tcW w:w="156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       25</w:t>
            </w:r>
          </w:p>
        </w:tc>
        <w:tc>
          <w:tcPr>
            <w:tcW w:w="141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19</w:t>
            </w:r>
          </w:p>
        </w:tc>
        <w:tc>
          <w:tcPr>
            <w:tcW w:w="18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26</w:t>
            </w:r>
          </w:p>
        </w:tc>
      </w:tr>
      <w:tr w:rsidR="00CB04F2" w:rsidRPr="00CB04F2" w:rsidTr="00CB04F2">
        <w:tc>
          <w:tcPr>
            <w:tcW w:w="285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Кол-во</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погибших</w:t>
            </w:r>
          </w:p>
        </w:tc>
        <w:tc>
          <w:tcPr>
            <w:tcW w:w="17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w:t>
            </w:r>
          </w:p>
        </w:tc>
        <w:tc>
          <w:tcPr>
            <w:tcW w:w="156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0</w:t>
            </w:r>
          </w:p>
        </w:tc>
        <w:tc>
          <w:tcPr>
            <w:tcW w:w="141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w:t>
            </w:r>
          </w:p>
        </w:tc>
        <w:tc>
          <w:tcPr>
            <w:tcW w:w="18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0</w:t>
            </w:r>
          </w:p>
        </w:tc>
      </w:tr>
      <w:tr w:rsidR="00CB04F2" w:rsidRPr="00CB04F2" w:rsidTr="00CB04F2">
        <w:tc>
          <w:tcPr>
            <w:tcW w:w="285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Кол-во</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раненых</w:t>
            </w:r>
          </w:p>
        </w:tc>
        <w:tc>
          <w:tcPr>
            <w:tcW w:w="17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27</w:t>
            </w:r>
          </w:p>
        </w:tc>
        <w:tc>
          <w:tcPr>
            <w:tcW w:w="156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28</w:t>
            </w:r>
          </w:p>
        </w:tc>
        <w:tc>
          <w:tcPr>
            <w:tcW w:w="141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18</w:t>
            </w:r>
          </w:p>
        </w:tc>
        <w:tc>
          <w:tcPr>
            <w:tcW w:w="18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30</w:t>
            </w:r>
          </w:p>
        </w:tc>
      </w:tr>
      <w:tr w:rsidR="00CB04F2" w:rsidRPr="00CB04F2" w:rsidTr="00CB04F2">
        <w:tc>
          <w:tcPr>
            <w:tcW w:w="285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Тяжесть последствий</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в %</w:t>
            </w:r>
          </w:p>
        </w:tc>
        <w:tc>
          <w:tcPr>
            <w:tcW w:w="17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3,6</w:t>
            </w:r>
          </w:p>
        </w:tc>
        <w:tc>
          <w:tcPr>
            <w:tcW w:w="156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0</w:t>
            </w:r>
          </w:p>
        </w:tc>
        <w:tc>
          <w:tcPr>
            <w:tcW w:w="141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5,3</w:t>
            </w:r>
          </w:p>
        </w:tc>
        <w:tc>
          <w:tcPr>
            <w:tcW w:w="18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i/>
                <w:iCs/>
                <w:sz w:val="28"/>
                <w:szCs w:val="28"/>
                <w:lang w:eastAsia="ru-RU"/>
              </w:rPr>
              <w:t>0</w:t>
            </w:r>
          </w:p>
        </w:tc>
      </w:tr>
    </w:tbl>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 Виды ДТП, в результате которых пострадали или погибли дети</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Самыми распространенными видами происшествий с участием несовершеннолетних являются столкновения транспортных средств и наезды на пешеходов. На их долю приходится 22 и 21 дорожных аварий соответственно.</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Процентное распределение ДТП с участием детей представлено на </w:t>
      </w:r>
      <w:proofErr w:type="spellStart"/>
      <w:r w:rsidRPr="00CB04F2">
        <w:rPr>
          <w:rFonts w:ascii="Times New Roman" w:eastAsia="Times New Roman" w:hAnsi="Times New Roman" w:cs="Times New Roman"/>
          <w:color w:val="222222"/>
          <w:sz w:val="28"/>
          <w:szCs w:val="28"/>
          <w:lang w:eastAsia="ru-RU"/>
        </w:rPr>
        <w:t>диаграмме</w:t>
      </w:r>
      <w:proofErr w:type="gramStart"/>
      <w:r w:rsidRPr="00CB04F2">
        <w:rPr>
          <w:rFonts w:ascii="Times New Roman" w:eastAsia="Times New Roman" w:hAnsi="Times New Roman" w:cs="Times New Roman"/>
          <w:color w:val="222222"/>
          <w:sz w:val="28"/>
          <w:szCs w:val="28"/>
          <w:lang w:eastAsia="ru-RU"/>
        </w:rPr>
        <w:t>:</w:t>
      </w:r>
      <w:r w:rsidRPr="00CB04F2">
        <w:rPr>
          <w:rFonts w:ascii="Times New Roman" w:eastAsia="Times New Roman" w:hAnsi="Times New Roman" w:cs="Times New Roman"/>
          <w:b/>
          <w:bCs/>
          <w:i/>
          <w:iCs/>
          <w:color w:val="222222"/>
          <w:sz w:val="28"/>
          <w:szCs w:val="28"/>
          <w:lang w:eastAsia="ru-RU"/>
        </w:rPr>
        <w:t>Р</w:t>
      </w:r>
      <w:proofErr w:type="gramEnd"/>
      <w:r w:rsidRPr="00CB04F2">
        <w:rPr>
          <w:rFonts w:ascii="Times New Roman" w:eastAsia="Times New Roman" w:hAnsi="Times New Roman" w:cs="Times New Roman"/>
          <w:b/>
          <w:bCs/>
          <w:i/>
          <w:iCs/>
          <w:color w:val="222222"/>
          <w:sz w:val="28"/>
          <w:szCs w:val="28"/>
          <w:lang w:eastAsia="ru-RU"/>
        </w:rPr>
        <w:t>аспределение</w:t>
      </w:r>
      <w:proofErr w:type="spellEnd"/>
      <w:r w:rsidRPr="00CB04F2">
        <w:rPr>
          <w:rFonts w:ascii="Times New Roman" w:eastAsia="Times New Roman" w:hAnsi="Times New Roman" w:cs="Times New Roman"/>
          <w:b/>
          <w:bCs/>
          <w:i/>
          <w:iCs/>
          <w:color w:val="222222"/>
          <w:sz w:val="28"/>
          <w:szCs w:val="28"/>
          <w:lang w:eastAsia="ru-RU"/>
        </w:rPr>
        <w:t xml:space="preserve"> пострадавших в ДТП детей по основным категориям участников дорожного </w:t>
      </w:r>
      <w:proofErr w:type="spellStart"/>
      <w:r w:rsidRPr="00CB04F2">
        <w:rPr>
          <w:rFonts w:ascii="Times New Roman" w:eastAsia="Times New Roman" w:hAnsi="Times New Roman" w:cs="Times New Roman"/>
          <w:b/>
          <w:bCs/>
          <w:i/>
          <w:iCs/>
          <w:color w:val="222222"/>
          <w:sz w:val="28"/>
          <w:szCs w:val="28"/>
          <w:lang w:eastAsia="ru-RU"/>
        </w:rPr>
        <w:t>движения</w:t>
      </w:r>
      <w:r w:rsidRPr="00CB04F2">
        <w:rPr>
          <w:rFonts w:ascii="Times New Roman" w:eastAsia="Times New Roman" w:hAnsi="Times New Roman" w:cs="Times New Roman"/>
          <w:color w:val="222222"/>
          <w:sz w:val="28"/>
          <w:szCs w:val="28"/>
          <w:lang w:eastAsia="ru-RU"/>
        </w:rPr>
        <w:t>Дети</w:t>
      </w:r>
      <w:proofErr w:type="spellEnd"/>
      <w:r w:rsidRPr="00CB04F2">
        <w:rPr>
          <w:rFonts w:ascii="Times New Roman" w:eastAsia="Times New Roman" w:hAnsi="Times New Roman" w:cs="Times New Roman"/>
          <w:color w:val="222222"/>
          <w:sz w:val="28"/>
          <w:szCs w:val="28"/>
          <w:lang w:eastAsia="ru-RU"/>
        </w:rPr>
        <w:t>, пострадавшие в результате ДТП, подразделяются на 3 категории участников дорожного движения: пешеходов, пассажиров и велосипедистов.</w:t>
      </w:r>
    </w:p>
    <w:p w:rsidR="00CB04F2" w:rsidRPr="00CB04F2" w:rsidRDefault="00CB04F2" w:rsidP="00CB04F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proofErr w:type="gramStart"/>
      <w:r w:rsidRPr="00CB04F2">
        <w:rPr>
          <w:rFonts w:ascii="Times New Roman" w:eastAsia="Times New Roman" w:hAnsi="Times New Roman" w:cs="Times New Roman"/>
          <w:color w:val="222222"/>
          <w:sz w:val="28"/>
          <w:szCs w:val="28"/>
          <w:lang w:eastAsia="ru-RU"/>
        </w:rPr>
        <w:t>с</w:t>
      </w:r>
      <w:proofErr w:type="gramEnd"/>
      <w:r w:rsidRPr="00CB04F2">
        <w:rPr>
          <w:rFonts w:ascii="Times New Roman" w:eastAsia="Times New Roman" w:hAnsi="Times New Roman" w:cs="Times New Roman"/>
          <w:color w:val="222222"/>
          <w:sz w:val="28"/>
          <w:szCs w:val="28"/>
          <w:lang w:eastAsia="ru-RU"/>
        </w:rPr>
        <w:t xml:space="preserve"> участием пешеходов произошло 21 ДТП (АППГ – 15, +40%), что составило 41% от общего числа дорожных аварий, в которых 23 ребенка получили ранения (АППГ – 14, +64%). ДТП с летальным исходом не зарегистрировано (АППГ – 1 погибший, -100%). </w:t>
      </w:r>
      <w:r w:rsidRPr="00CB04F2">
        <w:rPr>
          <w:rFonts w:ascii="Times New Roman" w:eastAsia="Times New Roman" w:hAnsi="Times New Roman" w:cs="Times New Roman"/>
          <w:b/>
          <w:bCs/>
          <w:i/>
          <w:iCs/>
          <w:color w:val="222222"/>
          <w:sz w:val="28"/>
          <w:szCs w:val="28"/>
          <w:lang w:eastAsia="ru-RU"/>
        </w:rPr>
        <w:t> во дворовых территориях</w:t>
      </w:r>
      <w:proofErr w:type="gramStart"/>
      <w:r w:rsidRPr="00CB04F2">
        <w:rPr>
          <w:rFonts w:ascii="Times New Roman" w:eastAsia="Times New Roman" w:hAnsi="Times New Roman" w:cs="Times New Roman"/>
          <w:color w:val="222222"/>
          <w:sz w:val="28"/>
          <w:szCs w:val="28"/>
          <w:lang w:eastAsia="ru-RU"/>
        </w:rPr>
        <w:t>     В</w:t>
      </w:r>
      <w:proofErr w:type="gramEnd"/>
      <w:r w:rsidRPr="00CB04F2">
        <w:rPr>
          <w:rFonts w:ascii="Times New Roman" w:eastAsia="Times New Roman" w:hAnsi="Times New Roman" w:cs="Times New Roman"/>
          <w:color w:val="222222"/>
          <w:sz w:val="28"/>
          <w:szCs w:val="28"/>
          <w:lang w:eastAsia="ru-RU"/>
        </w:rPr>
        <w:t>о дворовых территориях зарегистрировано 4 ДТП (что составило 19% от общего количества ДТП с участием пешеходов; АППГ – 0 ДТП, +100%), в которых 4 ребенка (АППГ – 0, +100%) получили травмы различной степени тяжести.</w:t>
      </w:r>
    </w:p>
    <w:p w:rsidR="00CB04F2" w:rsidRPr="00CB04F2" w:rsidRDefault="00CB04F2" w:rsidP="00CB04F2">
      <w:pPr>
        <w:numPr>
          <w:ilvl w:val="0"/>
          <w:numId w:val="1"/>
        </w:numPr>
        <w:shd w:val="clear" w:color="auto" w:fill="FFFFFF"/>
        <w:spacing w:after="225" w:line="240" w:lineRule="auto"/>
        <w:ind w:left="900"/>
        <w:jc w:val="both"/>
        <w:rPr>
          <w:rFonts w:ascii="Times New Roman" w:eastAsia="Times New Roman" w:hAnsi="Times New Roman" w:cs="Times New Roman"/>
          <w:color w:val="222222"/>
          <w:sz w:val="28"/>
          <w:szCs w:val="28"/>
          <w:lang w:eastAsia="ru-RU"/>
        </w:rPr>
      </w:pPr>
    </w:p>
    <w:p w:rsidR="00CB04F2" w:rsidRPr="00CB04F2" w:rsidRDefault="00CB04F2" w:rsidP="00CB04F2">
      <w:pPr>
        <w:numPr>
          <w:ilvl w:val="1"/>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Информация о наездах на пешеходов</w:t>
      </w:r>
    </w:p>
    <w:p w:rsidR="00CB04F2" w:rsidRPr="00CB04F2" w:rsidRDefault="00CB04F2" w:rsidP="00CB04F2">
      <w:pPr>
        <w:numPr>
          <w:ilvl w:val="1"/>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9 дорожных аварий (43%) зарегистрированы в зонах действия пешеходных переходов. 15 детей школьного возраста (65%), 8 – дошкольники. 12 несовершеннолетних пешеходов (52%) в момент ДТП находились без сопровождения взрослых. Из всех пострадавших </w:t>
      </w:r>
      <w:r w:rsidRPr="00CB04F2">
        <w:rPr>
          <w:rFonts w:ascii="Times New Roman" w:eastAsia="Times New Roman" w:hAnsi="Times New Roman" w:cs="Times New Roman"/>
          <w:color w:val="222222"/>
          <w:sz w:val="28"/>
          <w:szCs w:val="28"/>
          <w:lang w:eastAsia="ru-RU"/>
        </w:rPr>
        <w:lastRenderedPageBreak/>
        <w:t xml:space="preserve">юных пешеходов 9 (39%) использовали в одежде </w:t>
      </w:r>
      <w:proofErr w:type="spellStart"/>
      <w:r w:rsidRPr="00CB04F2">
        <w:rPr>
          <w:rFonts w:ascii="Times New Roman" w:eastAsia="Times New Roman" w:hAnsi="Times New Roman" w:cs="Times New Roman"/>
          <w:color w:val="222222"/>
          <w:sz w:val="28"/>
          <w:szCs w:val="28"/>
          <w:lang w:eastAsia="ru-RU"/>
        </w:rPr>
        <w:t>световозвращающие</w:t>
      </w:r>
      <w:proofErr w:type="spellEnd"/>
      <w:r w:rsidRPr="00CB04F2">
        <w:rPr>
          <w:rFonts w:ascii="Times New Roman" w:eastAsia="Times New Roman" w:hAnsi="Times New Roman" w:cs="Times New Roman"/>
          <w:color w:val="222222"/>
          <w:sz w:val="28"/>
          <w:szCs w:val="28"/>
          <w:lang w:eastAsia="ru-RU"/>
        </w:rPr>
        <w:t xml:space="preserve"> элементы.</w:t>
      </w:r>
    </w:p>
    <w:p w:rsidR="00CB04F2" w:rsidRPr="00CB04F2" w:rsidRDefault="00CB04F2" w:rsidP="00CB04F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proofErr w:type="gramStart"/>
      <w:r w:rsidRPr="00CB04F2">
        <w:rPr>
          <w:rFonts w:ascii="Times New Roman" w:eastAsia="Times New Roman" w:hAnsi="Times New Roman" w:cs="Times New Roman"/>
          <w:color w:val="222222"/>
          <w:sz w:val="28"/>
          <w:szCs w:val="28"/>
          <w:lang w:eastAsia="ru-RU"/>
        </w:rPr>
        <w:t>с</w:t>
      </w:r>
      <w:proofErr w:type="gramEnd"/>
      <w:r w:rsidRPr="00CB04F2">
        <w:rPr>
          <w:rFonts w:ascii="Times New Roman" w:eastAsia="Times New Roman" w:hAnsi="Times New Roman" w:cs="Times New Roman"/>
          <w:color w:val="222222"/>
          <w:sz w:val="28"/>
          <w:szCs w:val="28"/>
          <w:lang w:eastAsia="ru-RU"/>
        </w:rPr>
        <w:t xml:space="preserve"> участием пассажиров зарегистрировано 28 ДТП (АППГ – 29, -3%), что составило 55% от общего числа дорожных аварий, в которых 33 ребенка получили ранения (АППГ – 31, +6%). ДТП с летальным исходом не зарегистрировано     (АППГ – 1 погибший, -100%). </w:t>
      </w:r>
      <w:r w:rsidRPr="00CB04F2">
        <w:rPr>
          <w:rFonts w:ascii="Times New Roman" w:eastAsia="Times New Roman" w:hAnsi="Times New Roman" w:cs="Times New Roman"/>
          <w:b/>
          <w:bCs/>
          <w:i/>
          <w:iCs/>
          <w:color w:val="222222"/>
          <w:sz w:val="28"/>
          <w:szCs w:val="28"/>
          <w:lang w:eastAsia="ru-RU"/>
        </w:rPr>
        <w:t> </w:t>
      </w:r>
    </w:p>
    <w:p w:rsidR="00CB04F2" w:rsidRPr="00CB04F2" w:rsidRDefault="00CB04F2" w:rsidP="00CB04F2">
      <w:pPr>
        <w:numPr>
          <w:ilvl w:val="1"/>
          <w:numId w:val="3"/>
        </w:numPr>
        <w:shd w:val="clear" w:color="auto" w:fill="FFFFFF"/>
        <w:spacing w:before="100" w:beforeAutospacing="1" w:after="100" w:afterAutospacing="1" w:line="240" w:lineRule="auto"/>
        <w:ind w:left="900"/>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Перевозка 6 юных пассажиров (18%) осуществлялась с нарушениями ПДД РФ, то есть без применения детских удерживающих устройств или ремней безопасности.</w:t>
      </w:r>
    </w:p>
    <w:p w:rsidR="00CB04F2" w:rsidRPr="00CB04F2" w:rsidRDefault="00CB04F2" w:rsidP="00CB04F2">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с участием юных водителей зарегистрировано 2 ДТП (АППГ – 0, +100%), что составило 4% от общего числа дорожных аварий, в которых 2 ребенка (АППГ – 0, +100%) получил ранения. В момент ДТП находился без защитного шлема и спец. экипировки, передвигался без сопровождения взрослых</w:t>
      </w:r>
      <w:r w:rsidRPr="00CB04F2">
        <w:rPr>
          <w:rFonts w:ascii="Times New Roman" w:eastAsia="Times New Roman" w:hAnsi="Times New Roman" w:cs="Times New Roman"/>
          <w:b/>
          <w:bCs/>
          <w:i/>
          <w:iCs/>
          <w:color w:val="222222"/>
          <w:sz w:val="28"/>
          <w:szCs w:val="28"/>
          <w:lang w:eastAsia="ru-RU"/>
        </w:rPr>
        <w:t>  Распределение пострадавших в ДТП детей</w:t>
      </w:r>
      <w:proofErr w:type="gramStart"/>
      <w:r w:rsidRPr="00CB04F2">
        <w:rPr>
          <w:rFonts w:ascii="Times New Roman" w:eastAsia="Times New Roman" w:hAnsi="Times New Roman" w:cs="Times New Roman"/>
          <w:b/>
          <w:bCs/>
          <w:i/>
          <w:iCs/>
          <w:color w:val="222222"/>
          <w:sz w:val="28"/>
          <w:szCs w:val="28"/>
          <w:lang w:eastAsia="ru-RU"/>
        </w:rPr>
        <w:t> </w:t>
      </w:r>
      <w:r w:rsidRPr="00CB04F2">
        <w:rPr>
          <w:rFonts w:ascii="Times New Roman" w:eastAsia="Times New Roman" w:hAnsi="Times New Roman" w:cs="Times New Roman"/>
          <w:color w:val="222222"/>
          <w:sz w:val="28"/>
          <w:szCs w:val="28"/>
          <w:lang w:eastAsia="ru-RU"/>
        </w:rPr>
        <w:t>В</w:t>
      </w:r>
      <w:proofErr w:type="gramEnd"/>
      <w:r w:rsidRPr="00CB04F2">
        <w:rPr>
          <w:rFonts w:ascii="Times New Roman" w:eastAsia="Times New Roman" w:hAnsi="Times New Roman" w:cs="Times New Roman"/>
          <w:color w:val="222222"/>
          <w:sz w:val="28"/>
          <w:szCs w:val="28"/>
          <w:lang w:eastAsia="ru-RU"/>
        </w:rPr>
        <w:t xml:space="preserve"> таблице представлены статистические показатели с учетом распределения пострадавших детей по четырем основным возрастным группам:</w:t>
      </w:r>
    </w:p>
    <w:p w:rsidR="00CB04F2" w:rsidRPr="00CB04F2" w:rsidRDefault="00CB04F2" w:rsidP="00CB04F2">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по возрастным категориям</w:t>
      </w:r>
    </w:p>
    <w:tbl>
      <w:tblPr>
        <w:tblW w:w="9868" w:type="dxa"/>
        <w:tblCellMar>
          <w:top w:w="15" w:type="dxa"/>
          <w:left w:w="15" w:type="dxa"/>
          <w:bottom w:w="15" w:type="dxa"/>
          <w:right w:w="15" w:type="dxa"/>
        </w:tblCellMar>
        <w:tblLook w:val="04A0" w:firstRow="1" w:lastRow="0" w:firstColumn="1" w:lastColumn="0" w:noHBand="0" w:noVBand="1"/>
      </w:tblPr>
      <w:tblGrid>
        <w:gridCol w:w="5943"/>
        <w:gridCol w:w="2497"/>
        <w:gridCol w:w="1428"/>
      </w:tblGrid>
      <w:tr w:rsidR="00CB04F2" w:rsidRPr="00CB04F2" w:rsidTr="00CB04F2">
        <w:trPr>
          <w:trHeight w:val="960"/>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Основные возрастные категории</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 </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ДТП</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 </w:t>
            </w:r>
          </w:p>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w:t>
            </w:r>
          </w:p>
        </w:tc>
      </w:tr>
      <w:tr w:rsidR="00CB04F2" w:rsidRPr="00CB04F2" w:rsidTr="00CB04F2">
        <w:trPr>
          <w:trHeight w:val="325"/>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дошкольники </w:t>
            </w:r>
            <w:r w:rsidRPr="00CB04F2">
              <w:rPr>
                <w:rFonts w:ascii="Times New Roman" w:eastAsia="Times New Roman" w:hAnsi="Times New Roman" w:cs="Times New Roman"/>
                <w:i/>
                <w:iCs/>
                <w:sz w:val="28"/>
                <w:szCs w:val="28"/>
                <w:lang w:eastAsia="ru-RU"/>
              </w:rPr>
              <w:t>до 7 лет</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24</w:t>
            </w:r>
          </w:p>
        </w:tc>
      </w:tr>
      <w:tr w:rsidR="00CB04F2" w:rsidRPr="00CB04F2" w:rsidTr="00CB04F2">
        <w:trPr>
          <w:trHeight w:val="341"/>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школьники начальных классов </w:t>
            </w:r>
            <w:r w:rsidRPr="00CB04F2">
              <w:rPr>
                <w:rFonts w:ascii="Times New Roman" w:eastAsia="Times New Roman" w:hAnsi="Times New Roman" w:cs="Times New Roman"/>
                <w:i/>
                <w:iCs/>
                <w:sz w:val="28"/>
                <w:szCs w:val="28"/>
                <w:lang w:eastAsia="ru-RU"/>
              </w:rPr>
              <w:t>от 7 до 10 лет</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13</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25</w:t>
            </w:r>
          </w:p>
        </w:tc>
      </w:tr>
      <w:tr w:rsidR="00CB04F2" w:rsidRPr="00CB04F2" w:rsidTr="00CB04F2">
        <w:trPr>
          <w:trHeight w:val="325"/>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школьники средних классов </w:t>
            </w:r>
            <w:r w:rsidRPr="00CB04F2">
              <w:rPr>
                <w:rFonts w:ascii="Times New Roman" w:eastAsia="Times New Roman" w:hAnsi="Times New Roman" w:cs="Times New Roman"/>
                <w:i/>
                <w:iCs/>
                <w:sz w:val="28"/>
                <w:szCs w:val="28"/>
                <w:lang w:eastAsia="ru-RU"/>
              </w:rPr>
              <w:t>от 10 до 14 лет</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18</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35</w:t>
            </w:r>
          </w:p>
        </w:tc>
      </w:tr>
      <w:tr w:rsidR="00CB04F2" w:rsidRPr="00CB04F2" w:rsidTr="00CB04F2">
        <w:trPr>
          <w:trHeight w:val="341"/>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школьники старших классов </w:t>
            </w:r>
            <w:r w:rsidRPr="00CB04F2">
              <w:rPr>
                <w:rFonts w:ascii="Times New Roman" w:eastAsia="Times New Roman" w:hAnsi="Times New Roman" w:cs="Times New Roman"/>
                <w:i/>
                <w:iCs/>
                <w:sz w:val="28"/>
                <w:szCs w:val="28"/>
                <w:lang w:eastAsia="ru-RU"/>
              </w:rPr>
              <w:t>от 14 до 16 лет</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16</w:t>
            </w:r>
          </w:p>
        </w:tc>
      </w:tr>
      <w:tr w:rsidR="00CB04F2" w:rsidRPr="00CB04F2" w:rsidTr="00CB04F2">
        <w:trPr>
          <w:trHeight w:val="325"/>
        </w:trPr>
        <w:tc>
          <w:tcPr>
            <w:tcW w:w="594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ИТОГО:</w:t>
            </w:r>
          </w:p>
        </w:tc>
        <w:tc>
          <w:tcPr>
            <w:tcW w:w="2497"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51</w:t>
            </w:r>
          </w:p>
        </w:tc>
        <w:tc>
          <w:tcPr>
            <w:tcW w:w="14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100</w:t>
            </w:r>
          </w:p>
        </w:tc>
      </w:tr>
    </w:tbl>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Долевое распределение детского дорожно-транспортного травматизма, в зависимости от возраста пострадавших детей:</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84% ДТП приходится на детей школьного возраста, из которых наибольшему риску подвержена возрастная категория от 10 до 14 лет. Одной из причин значительного количества ДТП со школьниками является то обстоятельство, что их в два раза больше, чем дошкольников. Также данный факт объясняется тем, что в большинстве случаев, школьники находятся на улице и проезжей части без сопровождения взрослых, тогда как дошкольники, как правило, находятся под присмотром взрослых.</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 Распределение показателей детского дорожно-транспортного травматизма</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lastRenderedPageBreak/>
        <w:t>в зависимости от погодных условий</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38 ДТП (75%), при которых погибли или пострадали дети, произошли при неблагоприятных метеорологических условиях (пасмурность, снегопад, дождь). При указанных погодных условиях ухудшается видимость, слышимость, возрастают тормозной и </w:t>
      </w:r>
      <w:proofErr w:type="gramStart"/>
      <w:r w:rsidRPr="00CB04F2">
        <w:rPr>
          <w:rFonts w:ascii="Times New Roman" w:eastAsia="Times New Roman" w:hAnsi="Times New Roman" w:cs="Times New Roman"/>
          <w:color w:val="222222"/>
          <w:sz w:val="28"/>
          <w:szCs w:val="28"/>
          <w:lang w:eastAsia="ru-RU"/>
        </w:rPr>
        <w:t>остановочный</w:t>
      </w:r>
      <w:proofErr w:type="gramEnd"/>
      <w:r w:rsidRPr="00CB04F2">
        <w:rPr>
          <w:rFonts w:ascii="Times New Roman" w:eastAsia="Times New Roman" w:hAnsi="Times New Roman" w:cs="Times New Roman"/>
          <w:color w:val="222222"/>
          <w:sz w:val="28"/>
          <w:szCs w:val="28"/>
          <w:lang w:eastAsia="ru-RU"/>
        </w:rPr>
        <w:t xml:space="preserve"> пути транспорта, что, в свою очередь, приводит к увеличению вероятности возникновения ДТП. Таким образом, можно сделать вывод, что неблагоприятные погодные условия могут косвенно влиять на возникновение дорожных происшествий с участием детей.</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 Показатели ДТП с участием несовершеннолетних, при которых выявлены недостатки транспортно-эксплуатационного состояния улично-дорожной сети</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В 20 ДТП (39%) с участием детей были выявлены недостатки транспортно-эксплуатационного состояния улично-дорожной сети. В результате данных ДТП      23 ребенка получили ранения.</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Распределение ДТП с участием детей в зависимости от категории автодороги</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Как видно из диаграмм, наибольшее количество ДТП регистрируется на автодорогах регионального уровня - 23 ДТП (45%), 28 пострадавших (48%); на дорогах местного (муниципального) значения – 21 ДТП (41%), 22 пострадавших (38%); на дорогах федерального значения – 7 ДТП (14%), 8 пострадавших (14%).</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t> Распределение ДТП по времени суток</w:t>
      </w:r>
    </w:p>
    <w:tbl>
      <w:tblPr>
        <w:tblW w:w="9447" w:type="dxa"/>
        <w:tblCellMar>
          <w:top w:w="15" w:type="dxa"/>
          <w:left w:w="15" w:type="dxa"/>
          <w:bottom w:w="15" w:type="dxa"/>
          <w:right w:w="15" w:type="dxa"/>
        </w:tblCellMar>
        <w:tblLook w:val="04A0" w:firstRow="1" w:lastRow="0" w:firstColumn="1" w:lastColumn="0" w:noHBand="0" w:noVBand="1"/>
      </w:tblPr>
      <w:tblGrid>
        <w:gridCol w:w="3202"/>
        <w:gridCol w:w="1104"/>
        <w:gridCol w:w="1114"/>
        <w:gridCol w:w="4027"/>
      </w:tblGrid>
      <w:tr w:rsidR="00CB04F2" w:rsidRPr="00CB04F2" w:rsidTr="00CB04F2">
        <w:trPr>
          <w:trHeight w:val="312"/>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Период времени</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ДТП</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Погибло</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Ранено</w:t>
            </w:r>
          </w:p>
        </w:tc>
      </w:tr>
      <w:tr w:rsidR="00CB04F2" w:rsidRPr="00CB04F2" w:rsidTr="00CB04F2">
        <w:trPr>
          <w:trHeight w:val="327"/>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00ч.00мин. – 07ч.00мин.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r>
      <w:tr w:rsidR="00CB04F2" w:rsidRPr="00CB04F2" w:rsidTr="00CB04F2">
        <w:trPr>
          <w:trHeight w:val="312"/>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07ч.00мин. – 09ч.00мин.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7</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r>
      <w:tr w:rsidR="00CB04F2" w:rsidRPr="00CB04F2" w:rsidTr="00CB04F2">
        <w:trPr>
          <w:trHeight w:val="327"/>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09ч.00мин. – 12ч.00мин.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7</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r>
      <w:tr w:rsidR="00CB04F2" w:rsidRPr="00CB04F2" w:rsidTr="00CB04F2">
        <w:trPr>
          <w:trHeight w:val="312"/>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12ч.00мин. – 15ч.00мин.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14</w:t>
            </w:r>
          </w:p>
        </w:tc>
      </w:tr>
      <w:tr w:rsidR="00CB04F2" w:rsidRPr="00CB04F2" w:rsidTr="00CB04F2">
        <w:trPr>
          <w:trHeight w:val="327"/>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15ч.00мин. – 18ч.00мин.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13</w:t>
            </w:r>
          </w:p>
        </w:tc>
      </w:tr>
      <w:tr w:rsidR="00CB04F2" w:rsidRPr="00CB04F2" w:rsidTr="00CB04F2">
        <w:trPr>
          <w:trHeight w:val="312"/>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18ч.00мин. – 21ч.00мин.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11</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w:t>
            </w:r>
          </w:p>
        </w:tc>
      </w:tr>
      <w:tr w:rsidR="00CB04F2" w:rsidRPr="00CB04F2" w:rsidTr="00CB04F2">
        <w:trPr>
          <w:trHeight w:val="327"/>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21ч.00мин. – 24ч.00мин.</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2</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3</w:t>
            </w:r>
          </w:p>
        </w:tc>
      </w:tr>
      <w:tr w:rsidR="00CB04F2" w:rsidRPr="00CB04F2" w:rsidTr="00CB04F2">
        <w:trPr>
          <w:trHeight w:val="312"/>
        </w:trPr>
        <w:tc>
          <w:tcPr>
            <w:tcW w:w="3240"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ВСЕГО:</w:t>
            </w:r>
          </w:p>
        </w:tc>
        <w:tc>
          <w:tcPr>
            <w:tcW w:w="1114"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51</w:t>
            </w:r>
          </w:p>
        </w:tc>
        <w:tc>
          <w:tcPr>
            <w:tcW w:w="1001"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0</w:t>
            </w:r>
          </w:p>
        </w:tc>
        <w:tc>
          <w:tcPr>
            <w:tcW w:w="4092"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58</w:t>
            </w:r>
          </w:p>
        </w:tc>
      </w:tr>
    </w:tbl>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69% ДТП происходит в период с 12ч.00мин. до 21ч.00мин. (35 ДТП). Данная тенденция связана с увеличением интенсивности транспортных потоков и активным пребыванием детей на улице, в том числе их возвратом из образовательных организаций, посещением всевозможных дополнительных занятий и секций.</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i/>
          <w:iCs/>
          <w:color w:val="222222"/>
          <w:sz w:val="28"/>
          <w:szCs w:val="28"/>
          <w:lang w:eastAsia="ru-RU"/>
        </w:rPr>
        <w:lastRenderedPageBreak/>
        <w:t> Распределение ДТП по дням недели</w:t>
      </w:r>
    </w:p>
    <w:tbl>
      <w:tblPr>
        <w:tblW w:w="9747" w:type="dxa"/>
        <w:tblCellMar>
          <w:top w:w="15" w:type="dxa"/>
          <w:left w:w="15" w:type="dxa"/>
          <w:bottom w:w="15" w:type="dxa"/>
          <w:right w:w="15" w:type="dxa"/>
        </w:tblCellMar>
        <w:tblLook w:val="04A0" w:firstRow="1" w:lastRow="0" w:firstColumn="1" w:lastColumn="0" w:noHBand="0" w:noVBand="1"/>
      </w:tblPr>
      <w:tblGrid>
        <w:gridCol w:w="3228"/>
        <w:gridCol w:w="1723"/>
        <w:gridCol w:w="1263"/>
        <w:gridCol w:w="3533"/>
      </w:tblGrid>
      <w:tr w:rsidR="00CB04F2" w:rsidRPr="00CB04F2" w:rsidTr="00CB04F2">
        <w:trPr>
          <w:trHeight w:val="316"/>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День недели</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ДТП</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Погибло</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Ранено</w:t>
            </w:r>
          </w:p>
        </w:tc>
      </w:tr>
      <w:tr w:rsidR="00CB04F2" w:rsidRPr="00CB04F2" w:rsidTr="00CB04F2">
        <w:trPr>
          <w:trHeight w:val="331"/>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Понедельник</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6</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r>
      <w:tr w:rsidR="00CB04F2" w:rsidRPr="00CB04F2" w:rsidTr="00CB04F2">
        <w:trPr>
          <w:trHeight w:val="316"/>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Вторник</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w:t>
            </w:r>
          </w:p>
        </w:tc>
      </w:tr>
      <w:tr w:rsidR="00CB04F2" w:rsidRPr="00CB04F2" w:rsidTr="00CB04F2">
        <w:trPr>
          <w:trHeight w:val="331"/>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Среда</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10</w:t>
            </w:r>
          </w:p>
        </w:tc>
      </w:tr>
      <w:tr w:rsidR="00CB04F2" w:rsidRPr="00CB04F2" w:rsidTr="00CB04F2">
        <w:trPr>
          <w:trHeight w:val="316"/>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Четверг</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9</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9</w:t>
            </w:r>
          </w:p>
        </w:tc>
      </w:tr>
      <w:tr w:rsidR="00CB04F2" w:rsidRPr="00CB04F2" w:rsidTr="00CB04F2">
        <w:trPr>
          <w:trHeight w:val="331"/>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Пятница</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8</w:t>
            </w:r>
          </w:p>
        </w:tc>
      </w:tr>
      <w:tr w:rsidR="00CB04F2" w:rsidRPr="00CB04F2" w:rsidTr="00CB04F2">
        <w:trPr>
          <w:trHeight w:val="316"/>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Суббота</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9</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12</w:t>
            </w:r>
          </w:p>
        </w:tc>
      </w:tr>
      <w:tr w:rsidR="00CB04F2" w:rsidRPr="00CB04F2" w:rsidTr="00CB04F2">
        <w:trPr>
          <w:trHeight w:val="316"/>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Воскресенье</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10</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sz w:val="28"/>
                <w:szCs w:val="28"/>
                <w:lang w:eastAsia="ru-RU"/>
              </w:rPr>
              <w:t>10</w:t>
            </w:r>
          </w:p>
        </w:tc>
      </w:tr>
      <w:tr w:rsidR="00CB04F2" w:rsidRPr="00CB04F2" w:rsidTr="00CB04F2">
        <w:trPr>
          <w:trHeight w:val="331"/>
        </w:trPr>
        <w:tc>
          <w:tcPr>
            <w:tcW w:w="3228"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ВСЕГО:</w:t>
            </w:r>
          </w:p>
        </w:tc>
        <w:tc>
          <w:tcPr>
            <w:tcW w:w="172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51</w:t>
            </w:r>
          </w:p>
        </w:tc>
        <w:tc>
          <w:tcPr>
            <w:tcW w:w="126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0</w:t>
            </w:r>
          </w:p>
        </w:tc>
        <w:tc>
          <w:tcPr>
            <w:tcW w:w="3533" w:type="dxa"/>
            <w:tcBorders>
              <w:top w:val="single" w:sz="6" w:space="0" w:color="DEE2E6"/>
              <w:left w:val="single" w:sz="6" w:space="0" w:color="DEE2E6"/>
              <w:bottom w:val="single" w:sz="6" w:space="0" w:color="DEE2E6"/>
              <w:right w:val="single" w:sz="6" w:space="0" w:color="DEE2E6"/>
            </w:tcBorders>
            <w:shd w:val="clear" w:color="auto" w:fill="auto"/>
            <w:hideMark/>
          </w:tcPr>
          <w:p w:rsidR="00CB04F2" w:rsidRPr="00CB04F2" w:rsidRDefault="00CB04F2" w:rsidP="00CB04F2">
            <w:pPr>
              <w:spacing w:after="100" w:afterAutospacing="1" w:line="240" w:lineRule="auto"/>
              <w:rPr>
                <w:rFonts w:ascii="Times New Roman" w:eastAsia="Times New Roman" w:hAnsi="Times New Roman" w:cs="Times New Roman"/>
                <w:sz w:val="28"/>
                <w:szCs w:val="28"/>
                <w:lang w:eastAsia="ru-RU"/>
              </w:rPr>
            </w:pPr>
            <w:r w:rsidRPr="00CB04F2">
              <w:rPr>
                <w:rFonts w:ascii="Times New Roman" w:eastAsia="Times New Roman" w:hAnsi="Times New Roman" w:cs="Times New Roman"/>
                <w:b/>
                <w:bCs/>
                <w:sz w:val="28"/>
                <w:szCs w:val="28"/>
                <w:lang w:eastAsia="ru-RU"/>
              </w:rPr>
              <w:t>58</w:t>
            </w:r>
          </w:p>
        </w:tc>
      </w:tr>
    </w:tbl>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Как видно из диаграммы, уровень детской дорожной аварийности распределился достаточно равномерно, начиная со среды и до окончания недели.</w:t>
      </w:r>
    </w:p>
    <w:p w:rsidR="00CB04F2" w:rsidRPr="00CB04F2" w:rsidRDefault="00CB04F2" w:rsidP="00CB04F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b/>
          <w:bCs/>
          <w:color w:val="222222"/>
          <w:sz w:val="28"/>
          <w:szCs w:val="28"/>
          <w:lang w:eastAsia="ru-RU"/>
        </w:rPr>
        <w:t>Результаты информационно-пропагандистской работы за 2 месяца 2020 года</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В целях снижения уровня детского дорожно-транспортного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w:t>
      </w:r>
      <w:proofErr w:type="gramStart"/>
      <w:r w:rsidRPr="00CB04F2">
        <w:rPr>
          <w:rFonts w:ascii="Times New Roman" w:eastAsia="Times New Roman" w:hAnsi="Times New Roman" w:cs="Times New Roman"/>
          <w:color w:val="222222"/>
          <w:sz w:val="28"/>
          <w:szCs w:val="28"/>
          <w:lang w:eastAsia="ru-RU"/>
        </w:rPr>
        <w:t>и</w:t>
      </w:r>
      <w:proofErr w:type="gramEnd"/>
      <w:r w:rsidRPr="00CB04F2">
        <w:rPr>
          <w:rFonts w:ascii="Times New Roman" w:eastAsia="Times New Roman" w:hAnsi="Times New Roman" w:cs="Times New Roman"/>
          <w:color w:val="222222"/>
          <w:sz w:val="28"/>
          <w:szCs w:val="28"/>
          <w:lang w:eastAsia="ru-RU"/>
        </w:rPr>
        <w:t xml:space="preserve"> отчетного периода текущего года проделана значительная информационно-пропагандистская работа с привлечением представителей заинтересованных организаций и ведомств.</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CB04F2">
        <w:rPr>
          <w:rFonts w:ascii="Times New Roman" w:eastAsia="Times New Roman" w:hAnsi="Times New Roman" w:cs="Times New Roman"/>
          <w:color w:val="222222"/>
          <w:sz w:val="28"/>
          <w:szCs w:val="28"/>
          <w:lang w:eastAsia="ru-RU"/>
        </w:rPr>
        <w:t>За 2 месяца 2020 года опубликовано (вышло в эфир) более 7,2 тысячи тематических материалов в федеральных, региональных и муниципальных средствах массовой информации, из них 758 статей опубликована в печатных СМИ, 684 информации озвучено на радиостанциях, 712 сюжетов показано на телевидении, 5086 материалов размещено в сети интернет, в том числе в информационных агентствах и в информационно-телекоммуникационной сети (интернет) на структурных компонентах</w:t>
      </w:r>
      <w:proofErr w:type="gramEnd"/>
      <w:r w:rsidRPr="00CB04F2">
        <w:rPr>
          <w:rFonts w:ascii="Times New Roman" w:eastAsia="Times New Roman" w:hAnsi="Times New Roman" w:cs="Times New Roman"/>
          <w:color w:val="222222"/>
          <w:sz w:val="28"/>
          <w:szCs w:val="28"/>
          <w:lang w:eastAsia="ru-RU"/>
        </w:rPr>
        <w:t xml:space="preserve"> АПК «Официальный сайт МВД России» (интернет-сайты ГУ МВД России по Московской области и Подмосковной Госавтоинспекции).</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Руководящим составом подразделений Госавтоинспекции проведено                93 брифинга, пресс-конференции, «круглых стола» по тематике БДД.</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         Личным составом организованы 1926 профилактических бесед с воспитанниками дошкольных образовательных организаций, 1967 - с учащимися учреждений общего и 116 – с учащимися учреждений </w:t>
      </w:r>
      <w:r w:rsidRPr="00CB04F2">
        <w:rPr>
          <w:rFonts w:ascii="Times New Roman" w:eastAsia="Times New Roman" w:hAnsi="Times New Roman" w:cs="Times New Roman"/>
          <w:color w:val="222222"/>
          <w:sz w:val="28"/>
          <w:szCs w:val="28"/>
          <w:lang w:eastAsia="ru-RU"/>
        </w:rPr>
        <w:lastRenderedPageBreak/>
        <w:t>дополнительного образования, 132 - со студентами средних профессиональных и высших учебных заведений.</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Всего организовано 871 массовое информационно-пропагандистское мероприятие по профилактике дорожно-транспортных происшествий и снижению тяжести их последствий, из них 547 по предупреждению детского дорожно-транспортного травматизма.</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CB04F2">
        <w:rPr>
          <w:rFonts w:ascii="Times New Roman" w:eastAsia="Times New Roman" w:hAnsi="Times New Roman" w:cs="Times New Roman"/>
          <w:color w:val="222222"/>
          <w:sz w:val="28"/>
          <w:szCs w:val="28"/>
          <w:lang w:eastAsia="ru-RU"/>
        </w:rPr>
        <w:t>В период с 03 февраля по 12 апреля 2020 года на территории Московской области проводиться </w:t>
      </w:r>
      <w:r w:rsidRPr="00CB04F2">
        <w:rPr>
          <w:rFonts w:ascii="Times New Roman" w:eastAsia="Times New Roman" w:hAnsi="Times New Roman" w:cs="Times New Roman"/>
          <w:b/>
          <w:bCs/>
          <w:color w:val="222222"/>
          <w:sz w:val="28"/>
          <w:szCs w:val="28"/>
          <w:lang w:eastAsia="ru-RU"/>
        </w:rPr>
        <w:t>региональная социальная кампания «Маленький пассажир – большая ответственность» </w:t>
      </w:r>
      <w:r w:rsidRPr="00CB04F2">
        <w:rPr>
          <w:rFonts w:ascii="Times New Roman" w:eastAsia="Times New Roman" w:hAnsi="Times New Roman" w:cs="Times New Roman"/>
          <w:color w:val="222222"/>
          <w:sz w:val="28"/>
          <w:szCs w:val="28"/>
          <w:lang w:eastAsia="ru-RU"/>
        </w:rPr>
        <w:t>(далее – Кампания), основной целью которой является профилактика и предупреждение ДТП с участием детей-пассажиров, информирование взрослых о недопустимости нарушений ПДД при перевозке детей в автомобилях, донесение информации о важности использования детских удерживающих устройств и ремней безопасности.</w:t>
      </w:r>
      <w:proofErr w:type="gramEnd"/>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По состоянию на 08.03.20г. сотрудниками территориальных подразделений Госавтоинспекции Московской области проделана следующая работа.</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В целях информирования населения по вопросам профилактики ДТП с участием детей-пассажиров и снижения тяжести их последствий, а также о сроках, целях и задачах Кампании, инициирована публикация более 1,3тыс. материалов в муниципальных СМИ, из которых: 125 – в печатных изданиях, 130 – в эфире радиостанций, 119 – в эфире телекомпаний, 1003 – на </w:t>
      </w:r>
      <w:proofErr w:type="spellStart"/>
      <w:r w:rsidRPr="00CB04F2">
        <w:rPr>
          <w:rFonts w:ascii="Times New Roman" w:eastAsia="Times New Roman" w:hAnsi="Times New Roman" w:cs="Times New Roman"/>
          <w:color w:val="222222"/>
          <w:sz w:val="28"/>
          <w:szCs w:val="28"/>
          <w:lang w:eastAsia="ru-RU"/>
        </w:rPr>
        <w:t>интернет-ресурсах</w:t>
      </w:r>
      <w:proofErr w:type="spellEnd"/>
      <w:r w:rsidRPr="00CB04F2">
        <w:rPr>
          <w:rFonts w:ascii="Times New Roman" w:eastAsia="Times New Roman" w:hAnsi="Times New Roman" w:cs="Times New Roman"/>
          <w:color w:val="222222"/>
          <w:sz w:val="28"/>
          <w:szCs w:val="28"/>
          <w:lang w:eastAsia="ru-RU"/>
        </w:rPr>
        <w:t>.</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Обеспечено размещение информационных материалов на 136 рекламных конструкциях различного типа. В зданиях 517 организаций и ведомств организована трансляция виде</w:t>
      </w:r>
      <w:proofErr w:type="gramStart"/>
      <w:r w:rsidRPr="00CB04F2">
        <w:rPr>
          <w:rFonts w:ascii="Times New Roman" w:eastAsia="Times New Roman" w:hAnsi="Times New Roman" w:cs="Times New Roman"/>
          <w:color w:val="222222"/>
          <w:sz w:val="28"/>
          <w:szCs w:val="28"/>
          <w:lang w:eastAsia="ru-RU"/>
        </w:rPr>
        <w:t>о-</w:t>
      </w:r>
      <w:proofErr w:type="gramEnd"/>
      <w:r w:rsidRPr="00CB04F2">
        <w:rPr>
          <w:rFonts w:ascii="Times New Roman" w:eastAsia="Times New Roman" w:hAnsi="Times New Roman" w:cs="Times New Roman"/>
          <w:color w:val="222222"/>
          <w:sz w:val="28"/>
          <w:szCs w:val="28"/>
          <w:lang w:eastAsia="ru-RU"/>
        </w:rPr>
        <w:t xml:space="preserve"> и </w:t>
      </w:r>
      <w:proofErr w:type="spellStart"/>
      <w:r w:rsidRPr="00CB04F2">
        <w:rPr>
          <w:rFonts w:ascii="Times New Roman" w:eastAsia="Times New Roman" w:hAnsi="Times New Roman" w:cs="Times New Roman"/>
          <w:color w:val="222222"/>
          <w:sz w:val="28"/>
          <w:szCs w:val="28"/>
          <w:lang w:eastAsia="ru-RU"/>
        </w:rPr>
        <w:t>аудиороликов</w:t>
      </w:r>
      <w:proofErr w:type="spellEnd"/>
      <w:r w:rsidRPr="00CB04F2">
        <w:rPr>
          <w:rFonts w:ascii="Times New Roman" w:eastAsia="Times New Roman" w:hAnsi="Times New Roman" w:cs="Times New Roman"/>
          <w:color w:val="222222"/>
          <w:sz w:val="28"/>
          <w:szCs w:val="28"/>
          <w:lang w:eastAsia="ru-RU"/>
        </w:rPr>
        <w:t>, размещено более 12тыс. плакатов, памяток и листовок. Среди участников дорожного движения распространено более 18тыс. экземпляров пропагандисткой продукции.</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Вблизи образовательных организаций, торгово-развлекательных центров, спортивных объектов и на маршрутах выезда за пределы городской черты территориальными подразделениями ГИ</w:t>
      </w:r>
      <w:proofErr w:type="gramStart"/>
      <w:r w:rsidRPr="00CB04F2">
        <w:rPr>
          <w:rFonts w:ascii="Times New Roman" w:eastAsia="Times New Roman" w:hAnsi="Times New Roman" w:cs="Times New Roman"/>
          <w:color w:val="222222"/>
          <w:sz w:val="28"/>
          <w:szCs w:val="28"/>
          <w:lang w:eastAsia="ru-RU"/>
        </w:rPr>
        <w:t>БДД пр</w:t>
      </w:r>
      <w:proofErr w:type="gramEnd"/>
      <w:r w:rsidRPr="00CB04F2">
        <w:rPr>
          <w:rFonts w:ascii="Times New Roman" w:eastAsia="Times New Roman" w:hAnsi="Times New Roman" w:cs="Times New Roman"/>
          <w:color w:val="222222"/>
          <w:sz w:val="28"/>
          <w:szCs w:val="28"/>
          <w:lang w:eastAsia="ru-RU"/>
        </w:rPr>
        <w:t>оведено 204 массовые проверки и 121 целевой рейд по контролю за соблюдением водителями транспортных средств правил перевозки детей. При проведении профилактических мероприятий, с участием представителей общественных объединений и корреспондентов муниципальных СМИ, выявлено свыше 850 нарушений правил перевозки детей.</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В поддержку Кампании проведено 153 акции «Безопасный двор». В указанных мероприятиях приняли участие более 2,1тыс. детей и взрослых, распространено свыше 3,5тыс. </w:t>
      </w:r>
      <w:proofErr w:type="spellStart"/>
      <w:r w:rsidRPr="00CB04F2">
        <w:rPr>
          <w:rFonts w:ascii="Times New Roman" w:eastAsia="Times New Roman" w:hAnsi="Times New Roman" w:cs="Times New Roman"/>
          <w:color w:val="222222"/>
          <w:sz w:val="28"/>
          <w:szCs w:val="28"/>
          <w:lang w:eastAsia="ru-RU"/>
        </w:rPr>
        <w:t>дорхенгеров</w:t>
      </w:r>
      <w:proofErr w:type="spellEnd"/>
      <w:r w:rsidRPr="00CB04F2">
        <w:rPr>
          <w:rFonts w:ascii="Times New Roman" w:eastAsia="Times New Roman" w:hAnsi="Times New Roman" w:cs="Times New Roman"/>
          <w:color w:val="222222"/>
          <w:sz w:val="28"/>
          <w:szCs w:val="28"/>
          <w:lang w:eastAsia="ru-RU"/>
        </w:rPr>
        <w:t>.</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lastRenderedPageBreak/>
        <w:t>В рамках Кампании сотрудниками территориальных подразделений Госавтоинспекции Московской области уделено внимание проведению соответствующей информационно-разъяснительной работы на площадках, где возможен контакт с целевой аудиторией.</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Тематические беседы и собрания, направленные на популяризацию использования детских удерживающих устройств и предупреждение нарушений правил дорожного движения при перевозке детей организованы в 66 медицинских учреждениях, 80 автошколах и 76 автотранспортных предприятиях.</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Активизирована просветительская работа среди несовершеннолетних по соблюдению ими правил пассивной безопасности при поездках в автотранспорте. Проведено 838 мероприятий в дошкольных образовательных учреждениях, 975 мероприятий на базе общеобразовательных организаций. Участниками тематических бесед, открытых уроков и викторин стали 48тыс. детей и подростков.</w:t>
      </w:r>
    </w:p>
    <w:p w:rsidR="00CB04F2" w:rsidRPr="00CB04F2" w:rsidRDefault="00CB04F2" w:rsidP="00CB04F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Разъяснительные беседы и мастер-классы организованы сотрудниками Госавтоинспекции для посетителей регистрационно-экзаменационных подразделений и организаций, оказывающих социально значимые государственные услуги (МФЦ, отделения пенсионных фондов и налоговых инспекций). Участие в мероприятиях приняли более 7,3тыс. граждан.</w:t>
      </w:r>
    </w:p>
    <w:p w:rsidR="00CB04F2" w:rsidRDefault="00CB04F2" w:rsidP="00CB04F2">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                   </w:t>
      </w:r>
      <w:r w:rsidRPr="00CB04F2">
        <w:rPr>
          <w:rFonts w:ascii="Times New Roman" w:eastAsia="Times New Roman" w:hAnsi="Times New Roman" w:cs="Times New Roman"/>
          <w:color w:val="222222"/>
          <w:sz w:val="28"/>
          <w:szCs w:val="28"/>
          <w:lang w:eastAsia="ru-RU"/>
        </w:rPr>
        <w:t> Управление ГИБДД ГУ МВД России</w:t>
      </w:r>
    </w:p>
    <w:p w:rsidR="00CB04F2" w:rsidRPr="00CB04F2" w:rsidRDefault="00CB04F2" w:rsidP="00CB04F2">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CB04F2">
        <w:rPr>
          <w:rFonts w:ascii="Times New Roman" w:eastAsia="Times New Roman" w:hAnsi="Times New Roman" w:cs="Times New Roman"/>
          <w:color w:val="222222"/>
          <w:sz w:val="28"/>
          <w:szCs w:val="28"/>
          <w:lang w:eastAsia="ru-RU"/>
        </w:rPr>
        <w:t xml:space="preserve"> по Московской области</w:t>
      </w:r>
    </w:p>
    <w:p w:rsidR="007C2EFB" w:rsidRPr="00CB04F2" w:rsidRDefault="007C2EFB" w:rsidP="00CB04F2">
      <w:pPr>
        <w:jc w:val="both"/>
        <w:rPr>
          <w:rFonts w:ascii="Times New Roman" w:hAnsi="Times New Roman" w:cs="Times New Roman"/>
          <w:sz w:val="28"/>
          <w:szCs w:val="28"/>
        </w:rPr>
      </w:pPr>
    </w:p>
    <w:sectPr w:rsidR="007C2EFB" w:rsidRPr="00CB04F2" w:rsidSect="00CB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4F44"/>
    <w:multiLevelType w:val="multilevel"/>
    <w:tmpl w:val="5C9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2D3F81"/>
    <w:multiLevelType w:val="multilevel"/>
    <w:tmpl w:val="10DAF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6D51CA"/>
    <w:multiLevelType w:val="multilevel"/>
    <w:tmpl w:val="116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8D1B36"/>
    <w:multiLevelType w:val="multilevel"/>
    <w:tmpl w:val="1E503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3729BE"/>
    <w:multiLevelType w:val="multilevel"/>
    <w:tmpl w:val="423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F2"/>
    <w:rsid w:val="007C2EFB"/>
    <w:rsid w:val="00CB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7495">
      <w:bodyDiv w:val="1"/>
      <w:marLeft w:val="0"/>
      <w:marRight w:val="0"/>
      <w:marTop w:val="0"/>
      <w:marBottom w:val="0"/>
      <w:divBdr>
        <w:top w:val="none" w:sz="0" w:space="0" w:color="auto"/>
        <w:left w:val="none" w:sz="0" w:space="0" w:color="auto"/>
        <w:bottom w:val="none" w:sz="0" w:space="0" w:color="auto"/>
        <w:right w:val="none" w:sz="0" w:space="0" w:color="auto"/>
      </w:divBdr>
      <w:divsChild>
        <w:div w:id="625310874">
          <w:marLeft w:val="0"/>
          <w:marRight w:val="0"/>
          <w:marTop w:val="0"/>
          <w:marBottom w:val="600"/>
          <w:divBdr>
            <w:top w:val="none" w:sz="0" w:space="0" w:color="auto"/>
            <w:left w:val="none" w:sz="0" w:space="0" w:color="auto"/>
            <w:bottom w:val="none" w:sz="0" w:space="0" w:color="auto"/>
            <w:right w:val="none" w:sz="0" w:space="0" w:color="auto"/>
          </w:divBdr>
        </w:div>
        <w:div w:id="1229341539">
          <w:marLeft w:val="0"/>
          <w:marRight w:val="0"/>
          <w:marTop w:val="0"/>
          <w:marBottom w:val="600"/>
          <w:divBdr>
            <w:top w:val="none" w:sz="0" w:space="0" w:color="auto"/>
            <w:left w:val="none" w:sz="0" w:space="0" w:color="auto"/>
            <w:bottom w:val="none" w:sz="0" w:space="0" w:color="auto"/>
            <w:right w:val="none" w:sz="0" w:space="0" w:color="auto"/>
          </w:divBdr>
        </w:div>
        <w:div w:id="1318143666">
          <w:marLeft w:val="0"/>
          <w:marRight w:val="0"/>
          <w:marTop w:val="0"/>
          <w:marBottom w:val="600"/>
          <w:divBdr>
            <w:top w:val="none" w:sz="0" w:space="0" w:color="auto"/>
            <w:left w:val="none" w:sz="0" w:space="0" w:color="auto"/>
            <w:bottom w:val="none" w:sz="0" w:space="0" w:color="auto"/>
            <w:right w:val="none" w:sz="0" w:space="0" w:color="auto"/>
          </w:divBdr>
        </w:div>
        <w:div w:id="122213229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2020-06-25T10:15:00Z</dcterms:created>
  <dcterms:modified xsi:type="dcterms:W3CDTF">2020-06-25T10:19:00Z</dcterms:modified>
</cp:coreProperties>
</file>